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E0E7B" w14:textId="6932D745" w:rsidR="004D74EB" w:rsidRDefault="001241A6">
      <w:pPr>
        <w:rPr>
          <w:u w:val="single"/>
        </w:rPr>
      </w:pPr>
      <w:r w:rsidRPr="001241A6">
        <w:rPr>
          <w:u w:val="single"/>
        </w:rPr>
        <w:t>Recovery Plan</w:t>
      </w:r>
    </w:p>
    <w:p w14:paraId="5E795186" w14:textId="0294114E" w:rsidR="001241A6" w:rsidRDefault="001241A6">
      <w:r>
        <w:t xml:space="preserve">This paper provides </w:t>
      </w:r>
      <w:r w:rsidR="00BF003F">
        <w:t>guidance to support</w:t>
      </w:r>
      <w:r>
        <w:t xml:space="preserve"> schools </w:t>
      </w:r>
      <w:r w:rsidR="00BF003F">
        <w:t xml:space="preserve">as they </w:t>
      </w:r>
      <w:r>
        <w:t xml:space="preserve">develop their recovery plans for August 2020. The </w:t>
      </w:r>
      <w:r w:rsidR="00BF003F">
        <w:t xml:space="preserve">guidance has </w:t>
      </w:r>
      <w:r>
        <w:t>been influenced by the discussions which have been held with all headteachers.</w:t>
      </w:r>
    </w:p>
    <w:p w14:paraId="33969491" w14:textId="60A761D8" w:rsidR="003221DB" w:rsidRDefault="00980F0D">
      <w:r>
        <w:t xml:space="preserve">The planning advice </w:t>
      </w:r>
      <w:r w:rsidR="00FD58EA">
        <w:t>is for young people returning to school in August 2020 and is based on the</w:t>
      </w:r>
      <w:r w:rsidR="008A2587">
        <w:t xml:space="preserve"> current advice from Government and from Public Health</w:t>
      </w:r>
      <w:r w:rsidR="00CF019D">
        <w:t xml:space="preserve"> and, as such, this guidance</w:t>
      </w:r>
      <w:r w:rsidR="00525307">
        <w:t xml:space="preserve"> </w:t>
      </w:r>
      <w:r w:rsidR="002B0E74">
        <w:t xml:space="preserve">is </w:t>
      </w:r>
      <w:r w:rsidR="00F96160">
        <w:t>subject to change and revision prior to that time.</w:t>
      </w:r>
    </w:p>
    <w:p w14:paraId="6E026043" w14:textId="46B0A0F5" w:rsidR="001241A6" w:rsidRDefault="001241A6">
      <w:r>
        <w:t>The paper covers the following:</w:t>
      </w:r>
    </w:p>
    <w:p w14:paraId="011BA994" w14:textId="57CA578F" w:rsidR="001241A6" w:rsidRDefault="001241A6" w:rsidP="001241A6">
      <w:pPr>
        <w:pStyle w:val="ListParagraph"/>
        <w:numPr>
          <w:ilvl w:val="0"/>
          <w:numId w:val="1"/>
        </w:numPr>
      </w:pPr>
      <w:r>
        <w:t>Underlying principles</w:t>
      </w:r>
    </w:p>
    <w:p w14:paraId="088DDC59" w14:textId="78EAD3AC" w:rsidR="001241A6" w:rsidRDefault="001241A6" w:rsidP="001241A6">
      <w:pPr>
        <w:pStyle w:val="ListParagraph"/>
        <w:numPr>
          <w:ilvl w:val="0"/>
          <w:numId w:val="1"/>
        </w:numPr>
      </w:pPr>
      <w:r>
        <w:t>Rationale</w:t>
      </w:r>
    </w:p>
    <w:p w14:paraId="63C75E40" w14:textId="6DA51A5D" w:rsidR="001241A6" w:rsidRDefault="00130CAE" w:rsidP="001241A6">
      <w:pPr>
        <w:pStyle w:val="ListParagraph"/>
        <w:numPr>
          <w:ilvl w:val="0"/>
          <w:numId w:val="1"/>
        </w:numPr>
      </w:pPr>
      <w:r>
        <w:t>Number</w:t>
      </w:r>
      <w:r w:rsidR="001241A6">
        <w:t xml:space="preserve"> of hours</w:t>
      </w:r>
    </w:p>
    <w:p w14:paraId="2DC31690" w14:textId="44CB88B4" w:rsidR="001241A6" w:rsidRDefault="001241A6" w:rsidP="001241A6">
      <w:pPr>
        <w:pStyle w:val="ListParagraph"/>
        <w:numPr>
          <w:ilvl w:val="0"/>
          <w:numId w:val="1"/>
        </w:numPr>
      </w:pPr>
      <w:r>
        <w:t>A proforma to be completed and return</w:t>
      </w:r>
      <w:r w:rsidR="00130CAE">
        <w:t>ed to Heads of Service by Monday 15</w:t>
      </w:r>
      <w:r w:rsidRPr="001241A6">
        <w:rPr>
          <w:vertAlign w:val="superscript"/>
        </w:rPr>
        <w:t>th</w:t>
      </w:r>
      <w:r>
        <w:t xml:space="preserve"> June</w:t>
      </w:r>
    </w:p>
    <w:p w14:paraId="0E4F1862" w14:textId="77777777" w:rsidR="00E1048F" w:rsidRDefault="00E1048F" w:rsidP="001241A6">
      <w:pPr>
        <w:rPr>
          <w:u w:val="single"/>
        </w:rPr>
      </w:pPr>
      <w:r>
        <w:rPr>
          <w:u w:val="single"/>
        </w:rPr>
        <w:t>Underlying Principles</w:t>
      </w:r>
    </w:p>
    <w:p w14:paraId="646F7A26" w14:textId="056896CF" w:rsidR="00E1048F" w:rsidRPr="00E1048F" w:rsidRDefault="00E1048F" w:rsidP="00E1048F">
      <w:pPr>
        <w:pStyle w:val="ListParagraph"/>
        <w:numPr>
          <w:ilvl w:val="0"/>
          <w:numId w:val="2"/>
        </w:numPr>
        <w:rPr>
          <w:u w:val="single"/>
        </w:rPr>
      </w:pPr>
      <w:r>
        <w:t>In the Recovery planning phase, our schools provide the optimum possible education provision for young people and families within the available capacity.</w:t>
      </w:r>
    </w:p>
    <w:p w14:paraId="4DD175F3" w14:textId="186E42E5" w:rsidR="00E1048F" w:rsidRPr="00E1048F" w:rsidRDefault="00E1048F" w:rsidP="00E1048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calculation of school capacity </w:t>
      </w:r>
      <w:r w:rsidR="00BF003F">
        <w:t xml:space="preserve">should </w:t>
      </w:r>
      <w:r>
        <w:t>be designed to get as close to 50% into school in groups as possible.</w:t>
      </w:r>
    </w:p>
    <w:p w14:paraId="77FDEBFD" w14:textId="5908FE6F" w:rsidR="00E1048F" w:rsidRPr="00E1048F" w:rsidRDefault="00E1048F" w:rsidP="00E1048F">
      <w:pPr>
        <w:pStyle w:val="ListParagraph"/>
        <w:numPr>
          <w:ilvl w:val="0"/>
          <w:numId w:val="2"/>
        </w:numPr>
        <w:rPr>
          <w:u w:val="single"/>
        </w:rPr>
      </w:pPr>
      <w:r>
        <w:t>Each school’s plan should reflect all guidance reg</w:t>
      </w:r>
      <w:r w:rsidR="00BF003F">
        <w:t>ar</w:t>
      </w:r>
      <w:r>
        <w:t>ding hours and numbers of days of learning for each young person.</w:t>
      </w:r>
    </w:p>
    <w:p w14:paraId="219B3F5B" w14:textId="77777777" w:rsidR="00E1048F" w:rsidRPr="00E1048F" w:rsidRDefault="00E1048F" w:rsidP="00E1048F">
      <w:pPr>
        <w:pStyle w:val="ListParagraph"/>
        <w:numPr>
          <w:ilvl w:val="0"/>
          <w:numId w:val="2"/>
        </w:numPr>
        <w:rPr>
          <w:u w:val="single"/>
        </w:rPr>
      </w:pPr>
      <w:r>
        <w:t>Schools offer learning to young people and families 5 days per week.</w:t>
      </w:r>
    </w:p>
    <w:p w14:paraId="3FAFEECC" w14:textId="77777777" w:rsidR="00E1048F" w:rsidRPr="00E1048F" w:rsidRDefault="00E1048F" w:rsidP="00E1048F">
      <w:pPr>
        <w:pStyle w:val="ListParagraph"/>
        <w:numPr>
          <w:ilvl w:val="0"/>
          <w:numId w:val="2"/>
        </w:numPr>
        <w:rPr>
          <w:u w:val="single"/>
        </w:rPr>
      </w:pPr>
      <w:r>
        <w:t>There should be in school provision planned for all year groups.</w:t>
      </w:r>
    </w:p>
    <w:p w14:paraId="42880C20" w14:textId="106174E6" w:rsidR="00E1048F" w:rsidRPr="00E1048F" w:rsidRDefault="00E1048F" w:rsidP="00E1048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Where appropriate, schools should consider </w:t>
      </w:r>
      <w:r w:rsidR="00BF003F">
        <w:t xml:space="preserve">a model which includes </w:t>
      </w:r>
      <w:r>
        <w:t>targeted groups of young people</w:t>
      </w:r>
      <w:r w:rsidR="00CF019D">
        <w:t xml:space="preserve"> being</w:t>
      </w:r>
      <w:r>
        <w:t xml:space="preserve"> in school every day.</w:t>
      </w:r>
    </w:p>
    <w:p w14:paraId="1C853C1B" w14:textId="7845FD31" w:rsidR="001241A6" w:rsidRPr="00E1048F" w:rsidRDefault="001241A6" w:rsidP="00E1048F">
      <w:pPr>
        <w:rPr>
          <w:u w:val="single"/>
        </w:rPr>
      </w:pPr>
      <w:r w:rsidRPr="00E1048F">
        <w:rPr>
          <w:u w:val="single"/>
        </w:rPr>
        <w:t>Rationale</w:t>
      </w:r>
    </w:p>
    <w:p w14:paraId="31D8D237" w14:textId="24915B25" w:rsidR="003C44AB" w:rsidRDefault="001241A6" w:rsidP="003C44AB">
      <w:r>
        <w:t xml:space="preserve">Every school should develop a rationale for the structure and pattern of the week. This </w:t>
      </w:r>
      <w:r w:rsidR="00BF003F">
        <w:t xml:space="preserve">should </w:t>
      </w:r>
      <w:r>
        <w:t>reflect the guidance from Government</w:t>
      </w:r>
      <w:r w:rsidR="003C44AB">
        <w:t xml:space="preserve"> as outlined in the Strategic Framework for Re opening Schools. Some key Government principles which </w:t>
      </w:r>
      <w:r w:rsidR="00BF003F">
        <w:t xml:space="preserve">should </w:t>
      </w:r>
      <w:r w:rsidR="003C44AB">
        <w:t>be evident in the rationale:</w:t>
      </w:r>
    </w:p>
    <w:p w14:paraId="23D17672" w14:textId="11BB7D64" w:rsidR="00E1048F" w:rsidRDefault="00E1048F" w:rsidP="003C44AB">
      <w:pPr>
        <w:pStyle w:val="ListParagraph"/>
        <w:numPr>
          <w:ilvl w:val="0"/>
          <w:numId w:val="4"/>
        </w:numPr>
      </w:pPr>
      <w:r>
        <w:lastRenderedPageBreak/>
        <w:t>Increasing separation –</w:t>
      </w:r>
      <w:r w:rsidR="003C44AB">
        <w:t>Number of young people and requisite staff within the school and available facilities can allow the required physical distancing to be achieved</w:t>
      </w:r>
      <w:r w:rsidR="00BF003F">
        <w:t>.</w:t>
      </w:r>
    </w:p>
    <w:p w14:paraId="795104C4" w14:textId="77777777" w:rsidR="003C44AB" w:rsidRDefault="00E1048F" w:rsidP="003C44AB">
      <w:pPr>
        <w:pStyle w:val="ListParagraph"/>
        <w:numPr>
          <w:ilvl w:val="0"/>
          <w:numId w:val="4"/>
        </w:numPr>
      </w:pPr>
      <w:r>
        <w:t>Decreasing Interaction – Movement around schools should be minimised, wherever possible.</w:t>
      </w:r>
    </w:p>
    <w:p w14:paraId="0947E9FF" w14:textId="3430D14F" w:rsidR="00E1048F" w:rsidRDefault="003C44AB" w:rsidP="003C44AB">
      <w:pPr>
        <w:pStyle w:val="ListParagraph"/>
        <w:numPr>
          <w:ilvl w:val="0"/>
          <w:numId w:val="4"/>
        </w:numPr>
      </w:pPr>
      <w:r>
        <w:t>Use all available spaces.</w:t>
      </w:r>
    </w:p>
    <w:p w14:paraId="39AF9A84" w14:textId="77777777" w:rsidR="00707F63" w:rsidRDefault="003C44AB" w:rsidP="003C44AB">
      <w:r>
        <w:t>The rationale should also explain the thinking behind</w:t>
      </w:r>
      <w:r w:rsidR="00707F63">
        <w:t>:</w:t>
      </w:r>
    </w:p>
    <w:p w14:paraId="7D7E3C6E" w14:textId="1D772C8F" w:rsidR="00707F63" w:rsidRDefault="00707F63" w:rsidP="00130CAE">
      <w:pPr>
        <w:pStyle w:val="ListParagraph"/>
        <w:numPr>
          <w:ilvl w:val="0"/>
          <w:numId w:val="7"/>
        </w:numPr>
      </w:pPr>
      <w:r>
        <w:t>The number of hours being offered, if it is the minimum amount.</w:t>
      </w:r>
    </w:p>
    <w:p w14:paraId="11D42F1B" w14:textId="1E5A369D" w:rsidR="00707F63" w:rsidRDefault="00707F63" w:rsidP="00130CAE">
      <w:pPr>
        <w:pStyle w:val="ListParagraph"/>
        <w:numPr>
          <w:ilvl w:val="0"/>
          <w:numId w:val="7"/>
        </w:numPr>
      </w:pPr>
      <w:r>
        <w:t>The</w:t>
      </w:r>
      <w:r w:rsidR="003C44AB">
        <w:t xml:space="preserve"> organisation of learning days; learning blocks within days </w:t>
      </w:r>
    </w:p>
    <w:p w14:paraId="4FDA9226" w14:textId="37ACE1D8" w:rsidR="003C44AB" w:rsidRDefault="00130CAE" w:rsidP="00130CAE">
      <w:pPr>
        <w:pStyle w:val="ListParagraph"/>
        <w:numPr>
          <w:ilvl w:val="0"/>
          <w:numId w:val="7"/>
        </w:numPr>
      </w:pPr>
      <w:r>
        <w:t xml:space="preserve">The </w:t>
      </w:r>
      <w:r w:rsidR="003C44AB">
        <w:t>groupings of young people.</w:t>
      </w:r>
    </w:p>
    <w:p w14:paraId="3D9D0B4F" w14:textId="77777777" w:rsidR="00130CAE" w:rsidRDefault="00130CAE" w:rsidP="00130CAE">
      <w:pPr>
        <w:ind w:left="770"/>
      </w:pPr>
    </w:p>
    <w:p w14:paraId="7552957F" w14:textId="77777777" w:rsidR="00130CAE" w:rsidRDefault="00130CAE" w:rsidP="00130CAE"/>
    <w:p w14:paraId="7C3E2BCF" w14:textId="77777777" w:rsidR="00130CAE" w:rsidRDefault="00130CAE" w:rsidP="00130CAE"/>
    <w:p w14:paraId="78239C02" w14:textId="77777777" w:rsidR="00130CAE" w:rsidRDefault="00130CAE" w:rsidP="00130CAE"/>
    <w:p w14:paraId="4BFCEA3E" w14:textId="7E800CB1" w:rsidR="003C44AB" w:rsidRPr="004234BF" w:rsidRDefault="003C44AB" w:rsidP="003C44AB">
      <w:pPr>
        <w:rPr>
          <w:b/>
          <w:u w:val="single"/>
        </w:rPr>
      </w:pPr>
      <w:r w:rsidRPr="004234BF">
        <w:rPr>
          <w:b/>
          <w:u w:val="single"/>
        </w:rPr>
        <w:t>Number of Hours</w:t>
      </w:r>
    </w:p>
    <w:p w14:paraId="1173D2D9" w14:textId="60C61D99" w:rsidR="003C44AB" w:rsidRDefault="003C44AB" w:rsidP="003C44AB">
      <w:r w:rsidRPr="003C44AB">
        <w:t>Every school should aim for maximum possible numbers of lear</w:t>
      </w:r>
      <w:r>
        <w:t>ning hours for each year group. This should be:</w:t>
      </w:r>
    </w:p>
    <w:p w14:paraId="5256E121" w14:textId="53B7DCE6" w:rsidR="003C44AB" w:rsidRDefault="003C44AB" w:rsidP="003C44AB">
      <w:pPr>
        <w:pStyle w:val="ListParagraph"/>
        <w:numPr>
          <w:ilvl w:val="0"/>
          <w:numId w:val="5"/>
        </w:numPr>
      </w:pPr>
      <w:r>
        <w:t>No less than 12 hours per week</w:t>
      </w:r>
      <w:r w:rsidR="00BD09C4">
        <w:t xml:space="preserve"> or 24 hours in a fortnight</w:t>
      </w:r>
      <w:r>
        <w:t xml:space="preserve"> for young people in the Broad, General Education</w:t>
      </w:r>
      <w:r w:rsidR="00130CAE">
        <w:t>.</w:t>
      </w:r>
    </w:p>
    <w:p w14:paraId="3BE2ABC4" w14:textId="1F5D1176" w:rsidR="00BD09C4" w:rsidRDefault="003C44AB" w:rsidP="00130CAE">
      <w:pPr>
        <w:pStyle w:val="ListParagraph"/>
        <w:ind w:left="360"/>
      </w:pPr>
      <w:r>
        <w:t>No less than 14 hours</w:t>
      </w:r>
      <w:r w:rsidR="00BD09C4">
        <w:t xml:space="preserve"> or 2</w:t>
      </w:r>
      <w:r w:rsidR="00BF003F">
        <w:t>8</w:t>
      </w:r>
      <w:r w:rsidR="00BD09C4">
        <w:t xml:space="preserve"> hours in a fortnight</w:t>
      </w:r>
      <w:r>
        <w:t xml:space="preserve"> for young people in the senior phase.</w:t>
      </w:r>
      <w:r w:rsidR="00707F63">
        <w:t xml:space="preserve"> Within the rationale, there should be an explanation of the decision to offer the identified minimum amount of learning time.</w:t>
      </w:r>
    </w:p>
    <w:p w14:paraId="43F43213" w14:textId="1865A10B" w:rsidR="00BD09C4" w:rsidRDefault="000731D5" w:rsidP="00BD09C4">
      <w:pPr>
        <w:pStyle w:val="ListParagraph"/>
        <w:numPr>
          <w:ilvl w:val="0"/>
          <w:numId w:val="6"/>
        </w:numPr>
      </w:pPr>
      <w:r>
        <w:t>Schools should</w:t>
      </w:r>
      <w:r w:rsidR="00BD09C4">
        <w:t xml:space="preserve"> organis</w:t>
      </w:r>
      <w:r>
        <w:t>e</w:t>
      </w:r>
      <w:r w:rsidR="00BD09C4">
        <w:t xml:space="preserve"> learning blocks on a flexible basis, but the maximum length of day should be no more tha</w:t>
      </w:r>
      <w:r>
        <w:t>n</w:t>
      </w:r>
      <w:r w:rsidR="00BD09C4">
        <w:t xml:space="preserve"> 8.45am to 4pm Monday to Friday.</w:t>
      </w:r>
    </w:p>
    <w:p w14:paraId="45B71C53" w14:textId="188F27AB" w:rsidR="00BD09C4" w:rsidRDefault="004234BF" w:rsidP="004234BF">
      <w:r>
        <w:t>While recognising this is more than indicated in discussions, it provides a similar percentage of teaching time as the primary model and it links to time being provided by other local authorities in the West Partnership.</w:t>
      </w:r>
    </w:p>
    <w:p w14:paraId="7B427BB4" w14:textId="3D23DD7D" w:rsidR="00BD09C4" w:rsidRPr="004234BF" w:rsidRDefault="004234BF" w:rsidP="00BD09C4">
      <w:pPr>
        <w:rPr>
          <w:b/>
          <w:u w:val="single"/>
        </w:rPr>
      </w:pPr>
      <w:r w:rsidRPr="004234BF">
        <w:rPr>
          <w:b/>
          <w:u w:val="single"/>
        </w:rPr>
        <w:t>Models of Delivery</w:t>
      </w:r>
    </w:p>
    <w:p w14:paraId="0750A3BD" w14:textId="756A53EA" w:rsidR="00BD09C4" w:rsidRDefault="00BD09C4" w:rsidP="00BD09C4">
      <w:r>
        <w:t>There are 3 models of delivery which have emerged from discussions with headteachers and schools should plan for the model which suits their local context, taking into account the capacity of the building</w:t>
      </w:r>
      <w:r w:rsidR="003C487F">
        <w:t>s</w:t>
      </w:r>
      <w:r>
        <w:t>; issues of transport and available facilities. All schools can allow for staggered start and finish times in the organisation of their models.</w:t>
      </w:r>
    </w:p>
    <w:p w14:paraId="241F47C5" w14:textId="3994A53B" w:rsidR="00AB7243" w:rsidRDefault="00AB7243" w:rsidP="00BD09C4">
      <w:r>
        <w:t>All models based on 2 groups:</w:t>
      </w:r>
    </w:p>
    <w:p w14:paraId="43FE280A" w14:textId="183386C5" w:rsidR="00BD09C4" w:rsidRPr="00AB7243" w:rsidRDefault="00BD09C4" w:rsidP="00BD09C4">
      <w:pPr>
        <w:rPr>
          <w:b/>
          <w:bCs/>
          <w:u w:val="single"/>
        </w:rPr>
      </w:pPr>
      <w:r w:rsidRPr="00AB7243">
        <w:rPr>
          <w:b/>
          <w:bCs/>
          <w:u w:val="single"/>
        </w:rPr>
        <w:t>Model 1</w:t>
      </w:r>
      <w:r w:rsidRPr="00AB7243">
        <w:rPr>
          <w:b/>
          <w:bCs/>
          <w:u w:val="single"/>
        </w:rPr>
        <w:tab/>
        <w:t>Half Day Model</w:t>
      </w:r>
    </w:p>
    <w:p w14:paraId="59BF5D2E" w14:textId="69A54788" w:rsidR="00BD09C4" w:rsidRDefault="00BD09C4" w:rsidP="00BD09C4">
      <w:r>
        <w:t>Group 1</w:t>
      </w:r>
      <w:r w:rsidR="00AB7243">
        <w:t xml:space="preserve"> Morning</w:t>
      </w:r>
      <w:r>
        <w:t xml:space="preserve"> –</w:t>
      </w:r>
      <w:r w:rsidR="00AB7243">
        <w:t xml:space="preserve"> Start at a time identified by the school, no</w:t>
      </w:r>
      <w:bookmarkStart w:id="0" w:name="_GoBack"/>
      <w:bookmarkEnd w:id="0"/>
      <w:r w:rsidR="00AB7243">
        <w:t>t before 8.45am</w:t>
      </w:r>
      <w:r>
        <w:t>, collecting lunch and leaving at the end of the morning, at the time identified by the school</w:t>
      </w:r>
      <w:r w:rsidR="00AB7243">
        <w:t>, no later than 12pm.</w:t>
      </w:r>
    </w:p>
    <w:p w14:paraId="6A50DA0B" w14:textId="5453D709" w:rsidR="00AB7243" w:rsidRDefault="00AB7243" w:rsidP="00BD09C4">
      <w:r>
        <w:lastRenderedPageBreak/>
        <w:t>Group 2  Afternoon– Start at a time identified by the school, being given lunch on arrival, and leaving at the end of the afternoon, no later than 4pm.</w:t>
      </w:r>
    </w:p>
    <w:p w14:paraId="2F6D6736" w14:textId="2CC4536F" w:rsidR="00AB7243" w:rsidRPr="00AB7243" w:rsidRDefault="00AB7243" w:rsidP="00BD09C4">
      <w:pPr>
        <w:rPr>
          <w:b/>
          <w:bCs/>
          <w:u w:val="single"/>
        </w:rPr>
      </w:pPr>
      <w:r w:rsidRPr="00AB7243">
        <w:rPr>
          <w:b/>
          <w:bCs/>
          <w:u w:val="single"/>
        </w:rPr>
        <w:t>Model 2</w:t>
      </w:r>
      <w:r w:rsidRPr="00AB7243">
        <w:rPr>
          <w:b/>
          <w:bCs/>
          <w:u w:val="single"/>
        </w:rPr>
        <w:tab/>
        <w:t>Full Day Model (Alternate Days) -starting not before 8.45am and finishing no later than 4pm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243" w:rsidRPr="00AB7243" w14:paraId="74578528" w14:textId="77777777" w:rsidTr="00CB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3264F3" w14:textId="77777777" w:rsidR="00AB7243" w:rsidRPr="00AB7243" w:rsidRDefault="00AB7243" w:rsidP="005D3209">
            <w:r w:rsidRPr="00AB7243">
              <w:t>Week 1</w:t>
            </w:r>
          </w:p>
        </w:tc>
      </w:tr>
      <w:tr w:rsidR="00AB7243" w:rsidRPr="00AB7243" w14:paraId="72B47C2A" w14:textId="77777777" w:rsidTr="00C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9C494A" w14:textId="375B4E75" w:rsidR="00AB7243" w:rsidRPr="00AB7243" w:rsidRDefault="00AB7243" w:rsidP="005D3209">
            <w:r w:rsidRPr="00AB7243">
              <w:t>Group 1</w:t>
            </w:r>
            <w:r>
              <w:t>: Full Day Monday, Wednesday and Friday</w:t>
            </w:r>
          </w:p>
        </w:tc>
      </w:tr>
      <w:tr w:rsidR="00AB7243" w:rsidRPr="00AB7243" w14:paraId="06AE3378" w14:textId="77777777" w:rsidTr="00CB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CA01A6" w14:textId="3567F257" w:rsidR="00AB7243" w:rsidRPr="00AB7243" w:rsidRDefault="00AB7243" w:rsidP="005D3209">
            <w:r w:rsidRPr="00AB7243">
              <w:t>Group 2</w:t>
            </w:r>
            <w:r>
              <w:t>: Full Day Tuesday and Thursday</w:t>
            </w:r>
          </w:p>
        </w:tc>
      </w:tr>
      <w:tr w:rsidR="00AB7243" w:rsidRPr="00AB7243" w14:paraId="6D2E6498" w14:textId="77777777" w:rsidTr="00C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F9473A" w14:textId="4D4A35E8" w:rsidR="00AB7243" w:rsidRPr="00AB7243" w:rsidRDefault="00AB7243" w:rsidP="005D3209">
            <w:r>
              <w:t>Week 2</w:t>
            </w:r>
          </w:p>
        </w:tc>
      </w:tr>
      <w:tr w:rsidR="00AB7243" w:rsidRPr="00AB7243" w14:paraId="58631889" w14:textId="77777777" w:rsidTr="00CB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603F8" w14:textId="7BBB5A7D" w:rsidR="00AB7243" w:rsidRPr="00AB7243" w:rsidRDefault="00AB7243" w:rsidP="005D3209">
            <w:r>
              <w:t>Group 1: Full Day Tuesday and Thursday</w:t>
            </w:r>
          </w:p>
        </w:tc>
      </w:tr>
      <w:tr w:rsidR="00AB7243" w:rsidRPr="00AB7243" w14:paraId="607601F6" w14:textId="77777777" w:rsidTr="00C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52D9B0" w14:textId="09EDDEBF" w:rsidR="00AB7243" w:rsidRPr="00AB7243" w:rsidRDefault="00AB7243" w:rsidP="005D3209">
            <w:r>
              <w:t>Group 2: Fully Day Monday, Wednesday and Friday</w:t>
            </w:r>
          </w:p>
        </w:tc>
      </w:tr>
    </w:tbl>
    <w:p w14:paraId="0BA1E0EB" w14:textId="381DB421" w:rsidR="00CB4A71" w:rsidRPr="00CB4A71" w:rsidRDefault="00CB4A71" w:rsidP="003C44AB">
      <w:pPr>
        <w:rPr>
          <w:b/>
          <w:bCs/>
          <w:u w:val="single"/>
        </w:rPr>
      </w:pPr>
    </w:p>
    <w:p w14:paraId="66942DE1" w14:textId="0388DA86" w:rsidR="00CB4A71" w:rsidRDefault="00CB4A71" w:rsidP="003C44AB">
      <w:pPr>
        <w:rPr>
          <w:b/>
          <w:bCs/>
          <w:u w:val="single"/>
        </w:rPr>
      </w:pPr>
      <w:r w:rsidRPr="00CB4A71">
        <w:rPr>
          <w:b/>
          <w:bCs/>
          <w:u w:val="single"/>
        </w:rPr>
        <w:t>Model 3</w:t>
      </w:r>
      <w:r w:rsidRPr="00CB4A71">
        <w:rPr>
          <w:b/>
          <w:bCs/>
          <w:u w:val="single"/>
        </w:rPr>
        <w:tab/>
        <w:t>Full Day Model (Alternate Weeks) – starting not before 8.45am and finishing not later than 4pm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A71" w:rsidRPr="00CB4A71" w14:paraId="063F4F4E" w14:textId="77777777" w:rsidTr="00CB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207542" w14:textId="77777777" w:rsidR="00CB4A71" w:rsidRPr="00CB4A71" w:rsidRDefault="00CB4A71" w:rsidP="00E341E0">
            <w:pPr>
              <w:rPr>
                <w:b w:val="0"/>
                <w:bCs w:val="0"/>
              </w:rPr>
            </w:pPr>
            <w:r w:rsidRPr="00CB4A71">
              <w:rPr>
                <w:b w:val="0"/>
                <w:bCs w:val="0"/>
              </w:rPr>
              <w:t xml:space="preserve">Week 1 </w:t>
            </w:r>
          </w:p>
        </w:tc>
      </w:tr>
      <w:tr w:rsidR="00CB4A71" w:rsidRPr="00CB4A71" w14:paraId="264F2BEB" w14:textId="77777777" w:rsidTr="00C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D20D25" w14:textId="77777777" w:rsidR="00CB4A71" w:rsidRPr="00CB4A71" w:rsidRDefault="00CB4A71" w:rsidP="00E341E0">
            <w:pPr>
              <w:rPr>
                <w:b w:val="0"/>
                <w:bCs w:val="0"/>
              </w:rPr>
            </w:pPr>
            <w:r w:rsidRPr="00CB4A71">
              <w:rPr>
                <w:b w:val="0"/>
                <w:bCs w:val="0"/>
              </w:rPr>
              <w:t>Group 1: Full Day Monday, Tuesday, Wednesday</w:t>
            </w:r>
          </w:p>
        </w:tc>
      </w:tr>
      <w:tr w:rsidR="00CB4A71" w:rsidRPr="00CB4A71" w14:paraId="3915C382" w14:textId="77777777" w:rsidTr="00CB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54AA4A" w14:textId="77777777" w:rsidR="00CB4A71" w:rsidRPr="00CB4A71" w:rsidRDefault="00CB4A71" w:rsidP="00E341E0">
            <w:pPr>
              <w:rPr>
                <w:b w:val="0"/>
                <w:bCs w:val="0"/>
              </w:rPr>
            </w:pPr>
            <w:r w:rsidRPr="00CB4A71">
              <w:rPr>
                <w:b w:val="0"/>
                <w:bCs w:val="0"/>
              </w:rPr>
              <w:t>Group 2: Full Day Thursday and Friday</w:t>
            </w:r>
          </w:p>
        </w:tc>
      </w:tr>
      <w:tr w:rsidR="00CB4A71" w:rsidRPr="00CB4A71" w14:paraId="1F741CA3" w14:textId="77777777" w:rsidTr="00C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FA17EA" w14:textId="77777777" w:rsidR="00CB4A71" w:rsidRPr="00CB4A71" w:rsidRDefault="00CB4A71" w:rsidP="00E341E0">
            <w:pPr>
              <w:rPr>
                <w:b w:val="0"/>
                <w:bCs w:val="0"/>
              </w:rPr>
            </w:pPr>
            <w:r w:rsidRPr="00CB4A71">
              <w:rPr>
                <w:b w:val="0"/>
                <w:bCs w:val="0"/>
              </w:rPr>
              <w:t>Week 2</w:t>
            </w:r>
          </w:p>
        </w:tc>
      </w:tr>
      <w:tr w:rsidR="00CB4A71" w:rsidRPr="00CB4A71" w14:paraId="4E501963" w14:textId="77777777" w:rsidTr="00CB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7B6EA2" w14:textId="77777777" w:rsidR="00CB4A71" w:rsidRPr="00CB4A71" w:rsidRDefault="00CB4A71" w:rsidP="00E341E0">
            <w:pPr>
              <w:rPr>
                <w:b w:val="0"/>
                <w:bCs w:val="0"/>
              </w:rPr>
            </w:pPr>
            <w:r w:rsidRPr="00CB4A71">
              <w:rPr>
                <w:b w:val="0"/>
                <w:bCs w:val="0"/>
              </w:rPr>
              <w:t>Group 1: Full Day Thursday and Friday</w:t>
            </w:r>
          </w:p>
        </w:tc>
      </w:tr>
      <w:tr w:rsidR="00CB4A71" w:rsidRPr="00CB4A71" w14:paraId="586CEEE9" w14:textId="77777777" w:rsidTr="00CB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EAD150" w14:textId="77777777" w:rsidR="00CB4A71" w:rsidRPr="00CB4A71" w:rsidRDefault="00CB4A71" w:rsidP="00E341E0">
            <w:pPr>
              <w:rPr>
                <w:b w:val="0"/>
                <w:bCs w:val="0"/>
              </w:rPr>
            </w:pPr>
            <w:r w:rsidRPr="00CB4A71">
              <w:rPr>
                <w:b w:val="0"/>
                <w:bCs w:val="0"/>
              </w:rPr>
              <w:t>Group 2: Full Day Monday, Tuesday and Wednesday</w:t>
            </w:r>
          </w:p>
        </w:tc>
      </w:tr>
    </w:tbl>
    <w:p w14:paraId="4ECC2893" w14:textId="77777777" w:rsidR="001241A6" w:rsidRPr="001241A6" w:rsidRDefault="001241A6" w:rsidP="001241A6"/>
    <w:p w14:paraId="5057CF48" w14:textId="77777777" w:rsidR="00130CAE" w:rsidRDefault="00130CAE">
      <w:pPr>
        <w:rPr>
          <w:b/>
          <w:bCs/>
          <w:u w:val="single"/>
        </w:rPr>
      </w:pPr>
    </w:p>
    <w:p w14:paraId="7DD7E348" w14:textId="537371BB" w:rsidR="001241A6" w:rsidRDefault="00FB1F04">
      <w:pPr>
        <w:rPr>
          <w:b/>
          <w:bCs/>
          <w:u w:val="single"/>
        </w:rPr>
      </w:pPr>
      <w:r w:rsidRPr="00FB1F04">
        <w:rPr>
          <w:b/>
          <w:bCs/>
          <w:u w:val="single"/>
        </w:rPr>
        <w:t>Lunch Arrangements</w:t>
      </w:r>
    </w:p>
    <w:p w14:paraId="0EDEFADD" w14:textId="57E277EA" w:rsidR="00FB1F04" w:rsidRDefault="000F72F1">
      <w:r>
        <w:t xml:space="preserve">Whatever model is adopted by schools, arrangements must be made to provide lunch for young people </w:t>
      </w:r>
      <w:r w:rsidR="00534335">
        <w:t>entitled to free school meals, both when they are learning in school and when they are learning at home.</w:t>
      </w:r>
    </w:p>
    <w:p w14:paraId="2EEB2417" w14:textId="77777777" w:rsidR="00402752" w:rsidRPr="00130CAE" w:rsidRDefault="00402752">
      <w:pPr>
        <w:rPr>
          <w:b/>
          <w:u w:val="single"/>
        </w:rPr>
      </w:pPr>
      <w:r w:rsidRPr="00130CAE">
        <w:rPr>
          <w:b/>
          <w:u w:val="single"/>
        </w:rPr>
        <w:t>Cleaning</w:t>
      </w:r>
    </w:p>
    <w:p w14:paraId="295E0813" w14:textId="51C62613" w:rsidR="007A0084" w:rsidRDefault="00402752">
      <w:r>
        <w:t>Whatever model is adopted by schools, there has to be a plan for cleaning between groups. This plan should be developed with Amey representatives, either are</w:t>
      </w:r>
      <w:r w:rsidR="00707F63">
        <w:t xml:space="preserve">a based or school based. Within the chosen model, schools </w:t>
      </w:r>
      <w:r>
        <w:t>should build in sufficient time for</w:t>
      </w:r>
      <w:r w:rsidR="00707F63">
        <w:t xml:space="preserve"> the identified cleaning regime.</w:t>
      </w:r>
      <w:r w:rsidR="007A0084">
        <w:t xml:space="preserve"> </w:t>
      </w:r>
    </w:p>
    <w:p w14:paraId="261F3BE1" w14:textId="54FDD3CC" w:rsidR="006B149F" w:rsidRDefault="006B149F">
      <w:pPr>
        <w:rPr>
          <w:b/>
          <w:bCs/>
          <w:u w:val="single"/>
        </w:rPr>
      </w:pPr>
      <w:r>
        <w:rPr>
          <w:b/>
          <w:bCs/>
          <w:u w:val="single"/>
        </w:rPr>
        <w:t>Calculating Capacity</w:t>
      </w:r>
    </w:p>
    <w:p w14:paraId="28B31041" w14:textId="64F64834" w:rsidR="00B6158F" w:rsidRDefault="00B6158F">
      <w:r>
        <w:t xml:space="preserve">The capacity of the school should be calculated </w:t>
      </w:r>
      <w:r w:rsidR="00882F02">
        <w:t>to get as many young people into the school in each group, as close to 50% as possible.</w:t>
      </w:r>
    </w:p>
    <w:p w14:paraId="20C0A38C" w14:textId="52E74D0C" w:rsidR="00381314" w:rsidRDefault="00B71BBE">
      <w:r>
        <w:t xml:space="preserve">“The usable capacity should be determined by the design and lay out of each </w:t>
      </w:r>
      <w:r w:rsidR="00381314">
        <w:t>setting. May be increased through re purposing of other areas e.g. Games halls.” Strategic Framework</w:t>
      </w:r>
    </w:p>
    <w:p w14:paraId="5B67E275" w14:textId="60C6B410" w:rsidR="00974A8C" w:rsidRPr="00130CAE" w:rsidRDefault="00974A8C">
      <w:pPr>
        <w:rPr>
          <w:b/>
          <w:u w:val="single"/>
        </w:rPr>
      </w:pPr>
      <w:r w:rsidRPr="00130CAE">
        <w:rPr>
          <w:b/>
          <w:u w:val="single"/>
        </w:rPr>
        <w:t>Curriculum</w:t>
      </w:r>
    </w:p>
    <w:p w14:paraId="43E34C9A" w14:textId="2180DE84" w:rsidR="00974A8C" w:rsidRDefault="00B30C0F">
      <w:r>
        <w:t>A “Glasgow Recovery Curriculum” document which will provide the framework for curriculum planning in both the BGE and the Senior Phase will be issued week beginning 8</w:t>
      </w:r>
      <w:r w:rsidRPr="00B30C0F">
        <w:rPr>
          <w:vertAlign w:val="superscript"/>
        </w:rPr>
        <w:t>th</w:t>
      </w:r>
      <w:r>
        <w:t xml:space="preserve"> June 2020.</w:t>
      </w:r>
    </w:p>
    <w:p w14:paraId="67E53E6D" w14:textId="5028CEBC" w:rsidR="00B30C0F" w:rsidRPr="00130CAE" w:rsidRDefault="00B30C0F">
      <w:pPr>
        <w:rPr>
          <w:b/>
          <w:u w:val="single"/>
        </w:rPr>
      </w:pPr>
      <w:r w:rsidRPr="00130CAE">
        <w:rPr>
          <w:b/>
          <w:u w:val="single"/>
        </w:rPr>
        <w:t>Frequently Asked Questions</w:t>
      </w:r>
    </w:p>
    <w:p w14:paraId="488FE1AE" w14:textId="41F6AA2C" w:rsidR="00B30C0F" w:rsidRDefault="00B30C0F">
      <w:r>
        <w:t>An appendi</w:t>
      </w:r>
      <w:r w:rsidR="007A0084">
        <w:t>x</w:t>
      </w:r>
      <w:r>
        <w:t xml:space="preserve"> to this document providing response to frequently asked questions </w:t>
      </w:r>
      <w:r w:rsidR="007F2D1A">
        <w:t xml:space="preserve">on issues including </w:t>
      </w:r>
      <w:r w:rsidR="00F94A0F">
        <w:t xml:space="preserve">issues such </w:t>
      </w:r>
      <w:r w:rsidR="007F2D1A">
        <w:t>cleaning</w:t>
      </w:r>
      <w:r w:rsidR="00F94A0F">
        <w:t xml:space="preserve"> and</w:t>
      </w:r>
      <w:r w:rsidR="007F2D1A">
        <w:t xml:space="preserve"> Risk Assessment </w:t>
      </w:r>
      <w:r w:rsidR="00F94A0F">
        <w:t>will be issued shortly after this document.</w:t>
      </w:r>
    </w:p>
    <w:p w14:paraId="3725344E" w14:textId="295452C1" w:rsidR="009A5E9E" w:rsidRDefault="009A5E9E">
      <w:r>
        <w:br w:type="page"/>
      </w:r>
    </w:p>
    <w:p w14:paraId="22F7755B" w14:textId="7EFD6E01" w:rsidR="009A5E9E" w:rsidRDefault="009A5E9E">
      <w:r>
        <w:t xml:space="preserve">Following the completion of planning discussions with staff, please complete the pro forma below and return to your Head of Service by </w:t>
      </w:r>
      <w:r w:rsidR="004234BF">
        <w:t>Monday 15</w:t>
      </w:r>
      <w:r w:rsidR="003E7827" w:rsidRPr="003E7827">
        <w:rPr>
          <w:vertAlign w:val="superscript"/>
        </w:rPr>
        <w:t>th</w:t>
      </w:r>
      <w:r w:rsidR="003E7827">
        <w:t xml:space="preserve"> June.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5D31" w14:paraId="2670C016" w14:textId="77777777" w:rsidTr="00F05D31">
        <w:trPr>
          <w:trHeight w:val="360"/>
        </w:trPr>
        <w:tc>
          <w:tcPr>
            <w:tcW w:w="4508" w:type="dxa"/>
          </w:tcPr>
          <w:p w14:paraId="7AF8E375" w14:textId="5505DD00" w:rsidR="00F05D31" w:rsidRDefault="00F05D31" w:rsidP="00F05D31">
            <w:r>
              <w:t>Name of School</w:t>
            </w:r>
          </w:p>
        </w:tc>
        <w:tc>
          <w:tcPr>
            <w:tcW w:w="4508" w:type="dxa"/>
          </w:tcPr>
          <w:p w14:paraId="393AF90A" w14:textId="77777777" w:rsidR="00F05D31" w:rsidRDefault="00F05D31"/>
        </w:tc>
      </w:tr>
      <w:tr w:rsidR="00F05D31" w14:paraId="182EA509" w14:textId="77777777" w:rsidTr="00F05D31">
        <w:trPr>
          <w:trHeight w:val="360"/>
        </w:trPr>
        <w:tc>
          <w:tcPr>
            <w:tcW w:w="4508" w:type="dxa"/>
          </w:tcPr>
          <w:p w14:paraId="4E85E275" w14:textId="421B0847" w:rsidR="00F05D31" w:rsidRDefault="00F05D31">
            <w:r>
              <w:t>Model proposed and split of days</w:t>
            </w:r>
          </w:p>
        </w:tc>
        <w:tc>
          <w:tcPr>
            <w:tcW w:w="4508" w:type="dxa"/>
          </w:tcPr>
          <w:p w14:paraId="014D93E0" w14:textId="77777777" w:rsidR="00F05D31" w:rsidRDefault="00F05D31"/>
        </w:tc>
      </w:tr>
      <w:tr w:rsidR="00F05D31" w14:paraId="779FA084" w14:textId="77777777" w:rsidTr="00F05D31">
        <w:trPr>
          <w:trHeight w:val="360"/>
        </w:trPr>
        <w:tc>
          <w:tcPr>
            <w:tcW w:w="4508" w:type="dxa"/>
          </w:tcPr>
          <w:p w14:paraId="507E07A3" w14:textId="54023B17" w:rsidR="00F05D31" w:rsidRDefault="00F05D31">
            <w:r>
              <w:t>Details of Groups</w:t>
            </w:r>
          </w:p>
        </w:tc>
        <w:tc>
          <w:tcPr>
            <w:tcW w:w="4508" w:type="dxa"/>
          </w:tcPr>
          <w:p w14:paraId="0DF7D47E" w14:textId="77777777" w:rsidR="00F05D31" w:rsidRDefault="00F05D31"/>
        </w:tc>
      </w:tr>
      <w:tr w:rsidR="00F05D31" w14:paraId="6BB27D63" w14:textId="77777777" w:rsidTr="00F05D31">
        <w:trPr>
          <w:trHeight w:val="360"/>
        </w:trPr>
        <w:tc>
          <w:tcPr>
            <w:tcW w:w="4508" w:type="dxa"/>
          </w:tcPr>
          <w:p w14:paraId="41DDD161" w14:textId="70A4EA2A" w:rsidR="00F05D31" w:rsidRDefault="00F05D31">
            <w:r>
              <w:t>Total percentage of pupils in each group</w:t>
            </w:r>
          </w:p>
        </w:tc>
        <w:tc>
          <w:tcPr>
            <w:tcW w:w="4508" w:type="dxa"/>
          </w:tcPr>
          <w:p w14:paraId="75B63F97" w14:textId="77777777" w:rsidR="00F05D31" w:rsidRDefault="00F05D31"/>
        </w:tc>
      </w:tr>
      <w:tr w:rsidR="00F05D31" w14:paraId="2B3A5980" w14:textId="77777777" w:rsidTr="00F05D31">
        <w:trPr>
          <w:trHeight w:val="360"/>
        </w:trPr>
        <w:tc>
          <w:tcPr>
            <w:tcW w:w="4508" w:type="dxa"/>
          </w:tcPr>
          <w:p w14:paraId="398130C8" w14:textId="1B2830CC" w:rsidR="00F05D31" w:rsidRDefault="00F05D31">
            <w:r>
              <w:t>Details of Repurposed spaces</w:t>
            </w:r>
          </w:p>
        </w:tc>
        <w:tc>
          <w:tcPr>
            <w:tcW w:w="4508" w:type="dxa"/>
          </w:tcPr>
          <w:p w14:paraId="2C393F33" w14:textId="77777777" w:rsidR="00F05D31" w:rsidRDefault="00F05D31"/>
        </w:tc>
      </w:tr>
      <w:tr w:rsidR="00F05D31" w14:paraId="188FAD26" w14:textId="77777777" w:rsidTr="00F05D31">
        <w:trPr>
          <w:trHeight w:val="360"/>
        </w:trPr>
        <w:tc>
          <w:tcPr>
            <w:tcW w:w="4508" w:type="dxa"/>
          </w:tcPr>
          <w:p w14:paraId="78885265" w14:textId="2AC092B4" w:rsidR="00F05D31" w:rsidRDefault="00F05D31">
            <w:r>
              <w:t>In your model, how is cleaning managed?</w:t>
            </w:r>
          </w:p>
        </w:tc>
        <w:tc>
          <w:tcPr>
            <w:tcW w:w="4508" w:type="dxa"/>
          </w:tcPr>
          <w:p w14:paraId="20CDF729" w14:textId="77777777" w:rsidR="00F05D31" w:rsidRDefault="00F05D31"/>
        </w:tc>
      </w:tr>
      <w:tr w:rsidR="00F05D31" w14:paraId="55F61A35" w14:textId="77777777" w:rsidTr="00F05D31">
        <w:trPr>
          <w:trHeight w:val="360"/>
        </w:trPr>
        <w:tc>
          <w:tcPr>
            <w:tcW w:w="4508" w:type="dxa"/>
          </w:tcPr>
          <w:p w14:paraId="5AF248B2" w14:textId="647D9EA1" w:rsidR="00F05D31" w:rsidRDefault="00F05D31">
            <w:r>
              <w:t>Proposed Lunch Arrangements(Free Meals)</w:t>
            </w:r>
          </w:p>
        </w:tc>
        <w:tc>
          <w:tcPr>
            <w:tcW w:w="4508" w:type="dxa"/>
          </w:tcPr>
          <w:p w14:paraId="1BDBAFDB" w14:textId="77777777" w:rsidR="00F05D31" w:rsidRDefault="00F05D31"/>
        </w:tc>
      </w:tr>
      <w:tr w:rsidR="00F05D31" w14:paraId="61D2D1A8" w14:textId="77777777" w:rsidTr="00F05D31">
        <w:trPr>
          <w:trHeight w:val="360"/>
        </w:trPr>
        <w:tc>
          <w:tcPr>
            <w:tcW w:w="4508" w:type="dxa"/>
          </w:tcPr>
          <w:p w14:paraId="5D583F31" w14:textId="702BB098" w:rsidR="00F05D31" w:rsidRDefault="00F05D31">
            <w:r>
              <w:t>Travel issues, if relevant</w:t>
            </w:r>
          </w:p>
        </w:tc>
        <w:tc>
          <w:tcPr>
            <w:tcW w:w="4508" w:type="dxa"/>
          </w:tcPr>
          <w:p w14:paraId="1D7D0FC6" w14:textId="77777777" w:rsidR="00F05D31" w:rsidRDefault="00F05D31"/>
        </w:tc>
      </w:tr>
      <w:tr w:rsidR="00F05D31" w14:paraId="1E6975AE" w14:textId="77777777" w:rsidTr="00F05D31">
        <w:trPr>
          <w:trHeight w:val="360"/>
        </w:trPr>
        <w:tc>
          <w:tcPr>
            <w:tcW w:w="4508" w:type="dxa"/>
          </w:tcPr>
          <w:p w14:paraId="6FC1F2BE" w14:textId="16A7916E" w:rsidR="00F05D31" w:rsidRDefault="00F05D31">
            <w:r>
              <w:t>Issue to be resolved (For Authority Attention.)</w:t>
            </w:r>
          </w:p>
        </w:tc>
        <w:tc>
          <w:tcPr>
            <w:tcW w:w="4508" w:type="dxa"/>
          </w:tcPr>
          <w:p w14:paraId="7E8A659F" w14:textId="77777777" w:rsidR="00F05D31" w:rsidRDefault="00F05D31"/>
        </w:tc>
      </w:tr>
      <w:tr w:rsidR="00707F63" w14:paraId="60A02EF3" w14:textId="77777777" w:rsidTr="00F05D31">
        <w:trPr>
          <w:trHeight w:val="360"/>
        </w:trPr>
        <w:tc>
          <w:tcPr>
            <w:tcW w:w="4508" w:type="dxa"/>
          </w:tcPr>
          <w:p w14:paraId="4EA42E91" w14:textId="1EEB2E9D" w:rsidR="00707F63" w:rsidRDefault="00130CAE">
            <w:r>
              <w:t>Confirm Risk Assessment Agreed for August</w:t>
            </w:r>
          </w:p>
        </w:tc>
        <w:tc>
          <w:tcPr>
            <w:tcW w:w="4508" w:type="dxa"/>
          </w:tcPr>
          <w:p w14:paraId="0B9B51DC" w14:textId="7BC7112F" w:rsidR="00707F63" w:rsidRDefault="00707F63"/>
        </w:tc>
      </w:tr>
    </w:tbl>
    <w:p w14:paraId="02006863" w14:textId="77777777" w:rsidR="00F94A0F" w:rsidRPr="00B30C0F" w:rsidRDefault="00F94A0F"/>
    <w:sectPr w:rsidR="00F94A0F" w:rsidRPr="00B30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2A85D" w14:textId="77777777" w:rsidR="00C055CC" w:rsidRDefault="00C055CC" w:rsidP="001241A6">
      <w:pPr>
        <w:spacing w:after="0" w:line="240" w:lineRule="auto"/>
      </w:pPr>
      <w:r>
        <w:separator/>
      </w:r>
    </w:p>
  </w:endnote>
  <w:endnote w:type="continuationSeparator" w:id="0">
    <w:p w14:paraId="7028334F" w14:textId="77777777" w:rsidR="00C055CC" w:rsidRDefault="00C055CC" w:rsidP="001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BD12" w14:textId="712D949D" w:rsidR="00E050B9" w:rsidRDefault="003C487F" w:rsidP="003C487F">
    <w:pPr>
      <w:pStyle w:val="Footer"/>
      <w:jc w:val="center"/>
    </w:pPr>
    <w:fldSimple w:instr=" DOCPROPERTY bjFooterEvenPageDocProperty \* MERGEFORMAT " w:fldLock="1">
      <w:r w:rsidRPr="003C487F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7380" w14:textId="12D0A23C" w:rsidR="00E050B9" w:rsidRDefault="003C487F" w:rsidP="003C487F">
    <w:pPr>
      <w:pStyle w:val="Footer"/>
      <w:jc w:val="center"/>
    </w:pPr>
    <w:fldSimple w:instr=" DOCPROPERTY bjFooterBothDocProperty \* MERGEFORMAT " w:fldLock="1">
      <w:r w:rsidRPr="003C487F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5533" w14:textId="77777777" w:rsidR="004234BF" w:rsidRDefault="00423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0906" w14:textId="77777777" w:rsidR="00C055CC" w:rsidRDefault="00C055CC" w:rsidP="001241A6">
      <w:pPr>
        <w:spacing w:after="0" w:line="240" w:lineRule="auto"/>
      </w:pPr>
      <w:r>
        <w:separator/>
      </w:r>
    </w:p>
  </w:footnote>
  <w:footnote w:type="continuationSeparator" w:id="0">
    <w:p w14:paraId="7654AE11" w14:textId="77777777" w:rsidR="00C055CC" w:rsidRDefault="00C055CC" w:rsidP="0012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713E" w14:textId="5190CD1C" w:rsidR="00E050B9" w:rsidRDefault="003C487F" w:rsidP="003C487F">
    <w:pPr>
      <w:pStyle w:val="Header"/>
      <w:jc w:val="center"/>
    </w:pPr>
    <w:fldSimple w:instr=" DOCPROPERTY bjHeaderEvenPageDocProperty \* MERGEFORMAT " w:fldLock="1">
      <w:r w:rsidRPr="003C487F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6AE5" w14:textId="376D3688" w:rsidR="001241A6" w:rsidRDefault="003C487F" w:rsidP="003C487F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  <w:r w:rsidR="001241A6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FDB556" wp14:editId="372255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02C6D9" w14:textId="23320B15" w:rsidR="001241A6" w:rsidRDefault="001241A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Recovery, reconnection and resilience – secondary recovery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FDB556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302C6D9" w14:textId="23320B15" w:rsidR="001241A6" w:rsidRDefault="001241A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Recovery, reconnection and resilience – secondary recovery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5925" w14:textId="77777777" w:rsidR="004234BF" w:rsidRDefault="00423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455"/>
    <w:multiLevelType w:val="hybridMultilevel"/>
    <w:tmpl w:val="C74A0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70E60"/>
    <w:multiLevelType w:val="hybridMultilevel"/>
    <w:tmpl w:val="7B32B0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D3F07"/>
    <w:multiLevelType w:val="hybridMultilevel"/>
    <w:tmpl w:val="4378D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75229"/>
    <w:multiLevelType w:val="hybridMultilevel"/>
    <w:tmpl w:val="8A7073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D45069B"/>
    <w:multiLevelType w:val="hybridMultilevel"/>
    <w:tmpl w:val="3FFAE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932B0"/>
    <w:multiLevelType w:val="hybridMultilevel"/>
    <w:tmpl w:val="8A927D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95237"/>
    <w:multiLevelType w:val="hybridMultilevel"/>
    <w:tmpl w:val="731EB5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A6"/>
    <w:rsid w:val="000061B6"/>
    <w:rsid w:val="00031350"/>
    <w:rsid w:val="000731D5"/>
    <w:rsid w:val="000F72F1"/>
    <w:rsid w:val="001241A6"/>
    <w:rsid w:val="00130CAE"/>
    <w:rsid w:val="0017641D"/>
    <w:rsid w:val="002B0E74"/>
    <w:rsid w:val="003221DB"/>
    <w:rsid w:val="00381314"/>
    <w:rsid w:val="00392B6A"/>
    <w:rsid w:val="003C44AB"/>
    <w:rsid w:val="003C487F"/>
    <w:rsid w:val="003E7827"/>
    <w:rsid w:val="00402752"/>
    <w:rsid w:val="004234BF"/>
    <w:rsid w:val="004D74EB"/>
    <w:rsid w:val="00525307"/>
    <w:rsid w:val="00534335"/>
    <w:rsid w:val="00535DCF"/>
    <w:rsid w:val="006B149F"/>
    <w:rsid w:val="00707F63"/>
    <w:rsid w:val="007A0084"/>
    <w:rsid w:val="007F2D1A"/>
    <w:rsid w:val="00882F02"/>
    <w:rsid w:val="008A2587"/>
    <w:rsid w:val="00974A8C"/>
    <w:rsid w:val="00980F0D"/>
    <w:rsid w:val="009A5E9E"/>
    <w:rsid w:val="00AB7243"/>
    <w:rsid w:val="00AF230A"/>
    <w:rsid w:val="00B30C0F"/>
    <w:rsid w:val="00B6158F"/>
    <w:rsid w:val="00B71BBE"/>
    <w:rsid w:val="00BD09C4"/>
    <w:rsid w:val="00BF003F"/>
    <w:rsid w:val="00C055CC"/>
    <w:rsid w:val="00CB4A71"/>
    <w:rsid w:val="00CF019D"/>
    <w:rsid w:val="00DC21F5"/>
    <w:rsid w:val="00E050B9"/>
    <w:rsid w:val="00E1048F"/>
    <w:rsid w:val="00F05D31"/>
    <w:rsid w:val="00F57C2F"/>
    <w:rsid w:val="00F94A0F"/>
    <w:rsid w:val="00F96160"/>
    <w:rsid w:val="00FB1F04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A9E75"/>
  <w15:chartTrackingRefBased/>
  <w15:docId w15:val="{011F04EC-D8BA-42B5-B1B2-B494206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A6"/>
  </w:style>
  <w:style w:type="paragraph" w:styleId="Footer">
    <w:name w:val="footer"/>
    <w:basedOn w:val="Normal"/>
    <w:link w:val="FooterChar"/>
    <w:uiPriority w:val="99"/>
    <w:unhideWhenUsed/>
    <w:rsid w:val="0012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A6"/>
  </w:style>
  <w:style w:type="paragraph" w:styleId="ListParagraph">
    <w:name w:val="List Paragraph"/>
    <w:basedOn w:val="Normal"/>
    <w:uiPriority w:val="34"/>
    <w:qFormat/>
    <w:rsid w:val="001241A6"/>
    <w:pPr>
      <w:ind w:left="720"/>
      <w:contextualSpacing/>
    </w:pPr>
  </w:style>
  <w:style w:type="table" w:styleId="TableGrid">
    <w:name w:val="Table Grid"/>
    <w:basedOn w:val="TableNormal"/>
    <w:uiPriority w:val="39"/>
    <w:rsid w:val="00AB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B4A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CB4A7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CB4A7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3226-5BDC-460D-9DC9-DE2A07E7A7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AC54D0-0789-49EC-B1AD-51183D0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Recovery, reconnection and resilience – secondary recovery plan</vt:lpstr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Recovery, reconnection and resilience – secondary recovery plan</dc:title>
  <dc:subject/>
  <dc:creator>Gerry Lyons</dc:creator>
  <cp:keywords>[OFFICIAL]</cp:keywords>
  <dc:description/>
  <cp:lastModifiedBy>Lyons, Gerry (EDU)</cp:lastModifiedBy>
  <cp:revision>2</cp:revision>
  <dcterms:created xsi:type="dcterms:W3CDTF">2020-06-05T13:08:00Z</dcterms:created>
  <dcterms:modified xsi:type="dcterms:W3CDTF">2020-06-05T13:08:00Z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e614191d-8498-4e68-aac8-68111784e92e</vt:lpwstr>
  </property>
  <property fmtid="{D5CDD505-2E9C-101B-9397-08002B2CF9AE}" pid="3" name="bjSaver">
    <vt:lpwstr>88QBrm/pp29CdglI86FIVMGX9yRxahLE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